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1" w:type="dxa"/>
        <w:tblInd w:w="-432" w:type="dxa"/>
        <w:tblLayout w:type="fixed"/>
        <w:tblLook w:val="00BF" w:firstRow="1" w:lastRow="0" w:firstColumn="1" w:lastColumn="0" w:noHBand="0" w:noVBand="0"/>
      </w:tblPr>
      <w:tblGrid>
        <w:gridCol w:w="4912"/>
        <w:gridCol w:w="1379"/>
        <w:gridCol w:w="3620"/>
      </w:tblGrid>
      <w:tr w:rsidR="00773EE2" w14:paraId="4CC27E41" w14:textId="77777777" w:rsidTr="00A318BC">
        <w:trPr>
          <w:trHeight w:val="436"/>
        </w:trPr>
        <w:tc>
          <w:tcPr>
            <w:tcW w:w="9911" w:type="dxa"/>
            <w:gridSpan w:val="3"/>
          </w:tcPr>
          <w:p w14:paraId="63C82AC8" w14:textId="77777777" w:rsidR="00773EE2" w:rsidRDefault="002151A2">
            <w:pPr>
              <w:rPr>
                <w:b/>
              </w:rPr>
            </w:pPr>
            <w:r>
              <w:rPr>
                <w:b/>
              </w:rPr>
              <w:t>Handout #</w:t>
            </w:r>
            <w:r w:rsidR="00E57EBC">
              <w:rPr>
                <w:b/>
              </w:rPr>
              <w:t>3</w:t>
            </w:r>
            <w:bookmarkStart w:id="0" w:name="_GoBack"/>
            <w:bookmarkEnd w:id="0"/>
            <w:r>
              <w:rPr>
                <w:b/>
              </w:rPr>
              <w:t xml:space="preserve">:  </w:t>
            </w:r>
            <w:r w:rsidR="00773EE2" w:rsidRPr="00773EE2">
              <w:rPr>
                <w:b/>
              </w:rPr>
              <w:t>Cross Training Checklist:  Adult to Children’s</w:t>
            </w:r>
          </w:p>
          <w:p w14:paraId="111E26C8" w14:textId="77777777" w:rsidR="00773EE2" w:rsidRPr="00773EE2" w:rsidRDefault="00773EE2">
            <w:pPr>
              <w:rPr>
                <w:b/>
              </w:rPr>
            </w:pPr>
          </w:p>
        </w:tc>
      </w:tr>
      <w:tr w:rsidR="00773EE2" w14:paraId="7C0BF7BF" w14:textId="77777777" w:rsidTr="00A318BC">
        <w:trPr>
          <w:trHeight w:val="211"/>
        </w:trPr>
        <w:tc>
          <w:tcPr>
            <w:tcW w:w="4912" w:type="dxa"/>
          </w:tcPr>
          <w:p w14:paraId="5C7254E9" w14:textId="77777777" w:rsidR="00773EE2" w:rsidRPr="00773EE2" w:rsidRDefault="00773EE2">
            <w:pPr>
              <w:rPr>
                <w:b/>
              </w:rPr>
            </w:pPr>
            <w:r>
              <w:rPr>
                <w:b/>
              </w:rPr>
              <w:t>Training Areas</w:t>
            </w:r>
          </w:p>
        </w:tc>
        <w:tc>
          <w:tcPr>
            <w:tcW w:w="1379" w:type="dxa"/>
          </w:tcPr>
          <w:p w14:paraId="29304B8F" w14:textId="77777777" w:rsidR="00773EE2" w:rsidRPr="00773EE2" w:rsidRDefault="00773EE2">
            <w:pPr>
              <w:rPr>
                <w:b/>
              </w:rPr>
            </w:pPr>
            <w:r>
              <w:rPr>
                <w:b/>
              </w:rPr>
              <w:t>Completed</w:t>
            </w:r>
          </w:p>
        </w:tc>
        <w:tc>
          <w:tcPr>
            <w:tcW w:w="3620" w:type="dxa"/>
          </w:tcPr>
          <w:p w14:paraId="3CCF696B" w14:textId="77777777" w:rsidR="00773EE2" w:rsidRPr="00773EE2" w:rsidRDefault="00773EE2">
            <w:pPr>
              <w:rPr>
                <w:b/>
              </w:rPr>
            </w:pPr>
            <w:r>
              <w:rPr>
                <w:b/>
              </w:rPr>
              <w:t>Notes</w:t>
            </w:r>
          </w:p>
        </w:tc>
      </w:tr>
      <w:tr w:rsidR="00773EE2" w14:paraId="4E92FE02" w14:textId="77777777" w:rsidTr="00A318BC">
        <w:trPr>
          <w:trHeight w:val="1227"/>
        </w:trPr>
        <w:tc>
          <w:tcPr>
            <w:tcW w:w="4912" w:type="dxa"/>
          </w:tcPr>
          <w:p w14:paraId="722C5E55" w14:textId="77777777" w:rsidR="00773EE2" w:rsidRPr="00BB0F03" w:rsidRDefault="00773EE2">
            <w:pPr>
              <w:rPr>
                <w:b/>
                <w:sz w:val="22"/>
              </w:rPr>
            </w:pPr>
            <w:r w:rsidRPr="00BB0F03">
              <w:rPr>
                <w:b/>
                <w:sz w:val="22"/>
              </w:rPr>
              <w:t>Tour</w:t>
            </w:r>
          </w:p>
          <w:p w14:paraId="2B2BDE23" w14:textId="77777777" w:rsidR="00773EE2" w:rsidRPr="00BB0F03" w:rsidRDefault="00773EE2">
            <w:pPr>
              <w:rPr>
                <w:sz w:val="22"/>
              </w:rPr>
            </w:pPr>
            <w:r w:rsidRPr="00BB0F03">
              <w:rPr>
                <w:sz w:val="22"/>
              </w:rPr>
              <w:t>Map/Layout of collection</w:t>
            </w:r>
          </w:p>
          <w:p w14:paraId="4CF5B6E9" w14:textId="77777777" w:rsidR="00773EE2" w:rsidRPr="00BB0F03" w:rsidRDefault="00773EE2">
            <w:pPr>
              <w:rPr>
                <w:sz w:val="22"/>
              </w:rPr>
            </w:pPr>
            <w:r w:rsidRPr="00BB0F03">
              <w:rPr>
                <w:sz w:val="22"/>
              </w:rPr>
              <w:t>Highlights of circulating collection</w:t>
            </w:r>
          </w:p>
          <w:p w14:paraId="0976EC74" w14:textId="77777777" w:rsidR="00773EE2" w:rsidRPr="00BB0F03" w:rsidRDefault="00773EE2">
            <w:pPr>
              <w:rPr>
                <w:sz w:val="22"/>
              </w:rPr>
            </w:pPr>
            <w:r w:rsidRPr="00BB0F03">
              <w:rPr>
                <w:sz w:val="22"/>
              </w:rPr>
              <w:t>Book display locations</w:t>
            </w:r>
          </w:p>
          <w:p w14:paraId="3259CF85" w14:textId="77777777" w:rsidR="00773EE2" w:rsidRPr="00BB0F03" w:rsidRDefault="00773EE2">
            <w:pPr>
              <w:rPr>
                <w:sz w:val="22"/>
              </w:rPr>
            </w:pPr>
            <w:r w:rsidRPr="00BB0F03">
              <w:rPr>
                <w:sz w:val="22"/>
              </w:rPr>
              <w:t>Explanation of collection codes and genres (stickers and labels)</w:t>
            </w:r>
          </w:p>
        </w:tc>
        <w:tc>
          <w:tcPr>
            <w:tcW w:w="1379" w:type="dxa"/>
          </w:tcPr>
          <w:p w14:paraId="3A7AEFB1" w14:textId="77777777" w:rsidR="00773EE2" w:rsidRDefault="00773EE2"/>
        </w:tc>
        <w:tc>
          <w:tcPr>
            <w:tcW w:w="3620" w:type="dxa"/>
          </w:tcPr>
          <w:p w14:paraId="194A32FE" w14:textId="77777777" w:rsidR="00773EE2" w:rsidRDefault="00773EE2"/>
        </w:tc>
      </w:tr>
      <w:tr w:rsidR="00773EE2" w14:paraId="1A4CF744" w14:textId="77777777" w:rsidTr="00A318BC">
        <w:trPr>
          <w:trHeight w:val="227"/>
        </w:trPr>
        <w:tc>
          <w:tcPr>
            <w:tcW w:w="4912" w:type="dxa"/>
          </w:tcPr>
          <w:p w14:paraId="7827745B" w14:textId="77777777" w:rsidR="00773EE2" w:rsidRPr="00BB0F03" w:rsidRDefault="00773EE2">
            <w:pPr>
              <w:rPr>
                <w:b/>
                <w:sz w:val="22"/>
              </w:rPr>
            </w:pPr>
            <w:r w:rsidRPr="00BB0F03">
              <w:rPr>
                <w:b/>
                <w:sz w:val="22"/>
              </w:rPr>
              <w:t>Children’s Reference Collection</w:t>
            </w:r>
          </w:p>
        </w:tc>
        <w:tc>
          <w:tcPr>
            <w:tcW w:w="1379" w:type="dxa"/>
          </w:tcPr>
          <w:p w14:paraId="1CA7BAE6" w14:textId="77777777" w:rsidR="00773EE2" w:rsidRDefault="00773EE2"/>
        </w:tc>
        <w:tc>
          <w:tcPr>
            <w:tcW w:w="3620" w:type="dxa"/>
          </w:tcPr>
          <w:p w14:paraId="69B9DC80" w14:textId="77777777" w:rsidR="00773EE2" w:rsidRDefault="00773EE2"/>
        </w:tc>
      </w:tr>
      <w:tr w:rsidR="00773EE2" w14:paraId="493F9A95" w14:textId="77777777" w:rsidTr="00A318BC">
        <w:trPr>
          <w:trHeight w:val="598"/>
        </w:trPr>
        <w:tc>
          <w:tcPr>
            <w:tcW w:w="4912" w:type="dxa"/>
          </w:tcPr>
          <w:p w14:paraId="15B69A3D" w14:textId="77777777" w:rsidR="00773EE2" w:rsidRPr="00BB0F03" w:rsidRDefault="00773EE2">
            <w:pPr>
              <w:rPr>
                <w:b/>
                <w:sz w:val="22"/>
              </w:rPr>
            </w:pPr>
            <w:r w:rsidRPr="00BB0F03">
              <w:rPr>
                <w:b/>
                <w:sz w:val="22"/>
              </w:rPr>
              <w:t xml:space="preserve">Ready Reference </w:t>
            </w:r>
          </w:p>
          <w:p w14:paraId="1947C1EC" w14:textId="77777777" w:rsidR="00773EE2" w:rsidRPr="00BB0F03" w:rsidRDefault="00773EE2">
            <w:pPr>
              <w:rPr>
                <w:sz w:val="22"/>
              </w:rPr>
            </w:pPr>
            <w:r w:rsidRPr="00BB0F03">
              <w:rPr>
                <w:sz w:val="22"/>
              </w:rPr>
              <w:t>Print sources at the desk</w:t>
            </w:r>
          </w:p>
          <w:p w14:paraId="70E73134" w14:textId="77777777" w:rsidR="00773EE2" w:rsidRPr="00BB0F03" w:rsidRDefault="00773EE2">
            <w:pPr>
              <w:rPr>
                <w:sz w:val="22"/>
              </w:rPr>
            </w:pPr>
            <w:r w:rsidRPr="00BB0F03">
              <w:rPr>
                <w:sz w:val="22"/>
              </w:rPr>
              <w:t>Online bookmarks</w:t>
            </w:r>
          </w:p>
        </w:tc>
        <w:tc>
          <w:tcPr>
            <w:tcW w:w="1379" w:type="dxa"/>
          </w:tcPr>
          <w:p w14:paraId="70579A1D" w14:textId="77777777" w:rsidR="00773EE2" w:rsidRDefault="00773EE2"/>
        </w:tc>
        <w:tc>
          <w:tcPr>
            <w:tcW w:w="3620" w:type="dxa"/>
          </w:tcPr>
          <w:p w14:paraId="6BC03F0C" w14:textId="77777777" w:rsidR="00773EE2" w:rsidRDefault="00773EE2"/>
        </w:tc>
      </w:tr>
      <w:tr w:rsidR="00773EE2" w14:paraId="0A565426" w14:textId="77777777" w:rsidTr="00A318BC">
        <w:trPr>
          <w:trHeight w:val="227"/>
        </w:trPr>
        <w:tc>
          <w:tcPr>
            <w:tcW w:w="4912" w:type="dxa"/>
          </w:tcPr>
          <w:p w14:paraId="281A1D46" w14:textId="77777777" w:rsidR="00773EE2" w:rsidRPr="00BB0F03" w:rsidRDefault="00773EE2">
            <w:pPr>
              <w:rPr>
                <w:b/>
                <w:sz w:val="22"/>
              </w:rPr>
            </w:pPr>
            <w:r w:rsidRPr="00BB0F03">
              <w:rPr>
                <w:b/>
                <w:sz w:val="22"/>
              </w:rPr>
              <w:t>Kids’, 6</w:t>
            </w:r>
            <w:r w:rsidRPr="00BB0F03">
              <w:rPr>
                <w:b/>
                <w:sz w:val="22"/>
                <w:vertAlign w:val="superscript"/>
              </w:rPr>
              <w:t>th</w:t>
            </w:r>
            <w:r w:rsidRPr="00BB0F03">
              <w:rPr>
                <w:b/>
                <w:sz w:val="22"/>
              </w:rPr>
              <w:t xml:space="preserve"> Grade and Teen websites</w:t>
            </w:r>
          </w:p>
        </w:tc>
        <w:tc>
          <w:tcPr>
            <w:tcW w:w="1379" w:type="dxa"/>
          </w:tcPr>
          <w:p w14:paraId="0CE1C36D" w14:textId="77777777" w:rsidR="00773EE2" w:rsidRDefault="00773EE2"/>
        </w:tc>
        <w:tc>
          <w:tcPr>
            <w:tcW w:w="3620" w:type="dxa"/>
          </w:tcPr>
          <w:p w14:paraId="4C12DA87" w14:textId="77777777" w:rsidR="00773EE2" w:rsidRDefault="00773EE2"/>
        </w:tc>
      </w:tr>
      <w:tr w:rsidR="00773EE2" w14:paraId="4C9A6FA8" w14:textId="77777777" w:rsidTr="00A318BC">
        <w:trPr>
          <w:trHeight w:val="598"/>
        </w:trPr>
        <w:tc>
          <w:tcPr>
            <w:tcW w:w="4912" w:type="dxa"/>
          </w:tcPr>
          <w:p w14:paraId="2CE6E6E2" w14:textId="77777777" w:rsidR="00773EE2" w:rsidRPr="00BB0F03" w:rsidRDefault="00773EE2">
            <w:pPr>
              <w:rPr>
                <w:b/>
                <w:sz w:val="22"/>
              </w:rPr>
            </w:pPr>
            <w:r w:rsidRPr="00BB0F03">
              <w:rPr>
                <w:b/>
                <w:sz w:val="22"/>
              </w:rPr>
              <w:t>Reference Behaviors</w:t>
            </w:r>
          </w:p>
          <w:p w14:paraId="313444F8" w14:textId="77777777" w:rsidR="00773EE2" w:rsidRPr="00BB0F03" w:rsidRDefault="00773EE2">
            <w:pPr>
              <w:rPr>
                <w:sz w:val="22"/>
              </w:rPr>
            </w:pPr>
            <w:r w:rsidRPr="00BB0F03">
              <w:rPr>
                <w:sz w:val="22"/>
              </w:rPr>
              <w:t>Reference interview (difference in ages)</w:t>
            </w:r>
          </w:p>
          <w:p w14:paraId="3D46A1E8" w14:textId="77777777" w:rsidR="00773EE2" w:rsidRPr="00BB0F03" w:rsidRDefault="00773EE2" w:rsidP="00BB0F03">
            <w:pPr>
              <w:rPr>
                <w:sz w:val="22"/>
              </w:rPr>
            </w:pPr>
            <w:r w:rsidRPr="00BB0F03">
              <w:rPr>
                <w:sz w:val="22"/>
              </w:rPr>
              <w:t>Working with teachers</w:t>
            </w:r>
          </w:p>
        </w:tc>
        <w:tc>
          <w:tcPr>
            <w:tcW w:w="1379" w:type="dxa"/>
          </w:tcPr>
          <w:p w14:paraId="59BE0384" w14:textId="77777777" w:rsidR="00773EE2" w:rsidRDefault="00773EE2"/>
        </w:tc>
        <w:tc>
          <w:tcPr>
            <w:tcW w:w="3620" w:type="dxa"/>
          </w:tcPr>
          <w:p w14:paraId="6999CEAB" w14:textId="77777777" w:rsidR="00773EE2" w:rsidRDefault="00773EE2"/>
        </w:tc>
      </w:tr>
      <w:tr w:rsidR="00773EE2" w14:paraId="6E3E2566" w14:textId="77777777" w:rsidTr="00A318BC">
        <w:trPr>
          <w:trHeight w:val="1841"/>
        </w:trPr>
        <w:tc>
          <w:tcPr>
            <w:tcW w:w="4912" w:type="dxa"/>
          </w:tcPr>
          <w:p w14:paraId="5BBA4B55" w14:textId="77777777" w:rsidR="00773EE2" w:rsidRPr="00BB0F03" w:rsidRDefault="00773EE2">
            <w:pPr>
              <w:rPr>
                <w:b/>
                <w:sz w:val="22"/>
              </w:rPr>
            </w:pPr>
            <w:r w:rsidRPr="00BB0F03">
              <w:rPr>
                <w:b/>
                <w:sz w:val="22"/>
              </w:rPr>
              <w:t>Readers’ Advisory</w:t>
            </w:r>
          </w:p>
          <w:p w14:paraId="14E8EAC7" w14:textId="77777777" w:rsidR="00773EE2" w:rsidRPr="00BB0F03" w:rsidRDefault="00773EE2">
            <w:pPr>
              <w:rPr>
                <w:sz w:val="22"/>
              </w:rPr>
            </w:pPr>
            <w:r w:rsidRPr="00BB0F03">
              <w:rPr>
                <w:sz w:val="22"/>
              </w:rPr>
              <w:t>Readers’ advisory interview</w:t>
            </w:r>
          </w:p>
          <w:p w14:paraId="4683812D" w14:textId="77777777" w:rsidR="00773EE2" w:rsidRPr="00BB0F03" w:rsidRDefault="00773EE2">
            <w:pPr>
              <w:rPr>
                <w:sz w:val="22"/>
              </w:rPr>
            </w:pPr>
            <w:r w:rsidRPr="00BB0F03">
              <w:rPr>
                <w:sz w:val="22"/>
              </w:rPr>
              <w:t>Reading level/</w:t>
            </w:r>
            <w:proofErr w:type="spellStart"/>
            <w:r w:rsidRPr="00BB0F03">
              <w:rPr>
                <w:sz w:val="22"/>
              </w:rPr>
              <w:t>lexile</w:t>
            </w:r>
            <w:proofErr w:type="spellEnd"/>
          </w:p>
          <w:p w14:paraId="3DFF6D9F" w14:textId="77777777" w:rsidR="00773EE2" w:rsidRPr="00BB0F03" w:rsidRDefault="00773EE2">
            <w:pPr>
              <w:rPr>
                <w:sz w:val="22"/>
              </w:rPr>
            </w:pPr>
            <w:r w:rsidRPr="00BB0F03">
              <w:rPr>
                <w:sz w:val="22"/>
              </w:rPr>
              <w:t>Notebooks</w:t>
            </w:r>
          </w:p>
          <w:p w14:paraId="0B1D312D" w14:textId="77777777" w:rsidR="00773EE2" w:rsidRPr="00BB0F03" w:rsidRDefault="00773EE2">
            <w:pPr>
              <w:rPr>
                <w:sz w:val="22"/>
              </w:rPr>
            </w:pPr>
            <w:r w:rsidRPr="00BB0F03">
              <w:rPr>
                <w:sz w:val="22"/>
              </w:rPr>
              <w:t>Reference material</w:t>
            </w:r>
          </w:p>
          <w:p w14:paraId="79F4389A" w14:textId="77777777" w:rsidR="00773EE2" w:rsidRPr="00BB0F03" w:rsidRDefault="00773EE2">
            <w:pPr>
              <w:rPr>
                <w:sz w:val="22"/>
              </w:rPr>
            </w:pPr>
            <w:r w:rsidRPr="00BB0F03">
              <w:rPr>
                <w:sz w:val="22"/>
              </w:rPr>
              <w:t>Sure Bets for Children’s Fiction (intranet)</w:t>
            </w:r>
          </w:p>
          <w:p w14:paraId="292C610F" w14:textId="77777777" w:rsidR="00BB0F03" w:rsidRPr="00BB0F03" w:rsidRDefault="00BB0F03">
            <w:pPr>
              <w:rPr>
                <w:sz w:val="22"/>
              </w:rPr>
            </w:pPr>
            <w:r w:rsidRPr="00BB0F03">
              <w:rPr>
                <w:sz w:val="22"/>
              </w:rPr>
              <w:t>Children’s Book Awards (web)</w:t>
            </w:r>
          </w:p>
          <w:p w14:paraId="269452B2" w14:textId="77777777" w:rsidR="00773EE2" w:rsidRPr="00BB0F03" w:rsidRDefault="00BB0F03">
            <w:pPr>
              <w:rPr>
                <w:sz w:val="22"/>
              </w:rPr>
            </w:pPr>
            <w:r w:rsidRPr="00BB0F03">
              <w:rPr>
                <w:sz w:val="22"/>
              </w:rPr>
              <w:t>Y</w:t>
            </w:r>
            <w:r w:rsidR="00773EE2" w:rsidRPr="00BB0F03">
              <w:rPr>
                <w:sz w:val="22"/>
              </w:rPr>
              <w:t>A Readers’ Advisory Author List (intranet)</w:t>
            </w:r>
          </w:p>
          <w:p w14:paraId="23352CC4" w14:textId="77777777" w:rsidR="00773EE2" w:rsidRPr="00BB0F03" w:rsidRDefault="00BB0F03" w:rsidP="00BB0F03">
            <w:pPr>
              <w:rPr>
                <w:sz w:val="22"/>
              </w:rPr>
            </w:pPr>
            <w:r w:rsidRPr="00BB0F03">
              <w:rPr>
                <w:sz w:val="22"/>
              </w:rPr>
              <w:t>Teen Bookshelf (web)</w:t>
            </w:r>
          </w:p>
        </w:tc>
        <w:tc>
          <w:tcPr>
            <w:tcW w:w="1379" w:type="dxa"/>
          </w:tcPr>
          <w:p w14:paraId="4A031439" w14:textId="77777777" w:rsidR="00773EE2" w:rsidRDefault="00773EE2"/>
        </w:tc>
        <w:tc>
          <w:tcPr>
            <w:tcW w:w="3620" w:type="dxa"/>
          </w:tcPr>
          <w:p w14:paraId="732BB14F" w14:textId="77777777" w:rsidR="00773EE2" w:rsidRDefault="00773EE2"/>
        </w:tc>
      </w:tr>
      <w:tr w:rsidR="00773EE2" w14:paraId="4F2D378F" w14:textId="77777777" w:rsidTr="00A318BC">
        <w:trPr>
          <w:trHeight w:val="388"/>
        </w:trPr>
        <w:tc>
          <w:tcPr>
            <w:tcW w:w="4912" w:type="dxa"/>
          </w:tcPr>
          <w:p w14:paraId="612DA414" w14:textId="77777777" w:rsidR="00773EE2" w:rsidRPr="00BB0F03" w:rsidRDefault="00773EE2">
            <w:pPr>
              <w:rPr>
                <w:b/>
                <w:sz w:val="22"/>
              </w:rPr>
            </w:pPr>
            <w:r w:rsidRPr="00BB0F03">
              <w:rPr>
                <w:b/>
                <w:sz w:val="22"/>
              </w:rPr>
              <w:t>Child Psychology</w:t>
            </w:r>
          </w:p>
          <w:p w14:paraId="2EFC6E01" w14:textId="77777777" w:rsidR="00773EE2" w:rsidRPr="00BB0F03" w:rsidRDefault="00773EE2">
            <w:pPr>
              <w:rPr>
                <w:sz w:val="22"/>
              </w:rPr>
            </w:pPr>
            <w:r w:rsidRPr="00BB0F03">
              <w:rPr>
                <w:sz w:val="22"/>
              </w:rPr>
              <w:t>Appropriate/inappropriate behavior</w:t>
            </w:r>
          </w:p>
        </w:tc>
        <w:tc>
          <w:tcPr>
            <w:tcW w:w="1379" w:type="dxa"/>
          </w:tcPr>
          <w:p w14:paraId="2514F4EE" w14:textId="77777777" w:rsidR="00773EE2" w:rsidRDefault="00773EE2"/>
        </w:tc>
        <w:tc>
          <w:tcPr>
            <w:tcW w:w="3620" w:type="dxa"/>
          </w:tcPr>
          <w:p w14:paraId="30051CC3" w14:textId="77777777" w:rsidR="00773EE2" w:rsidRDefault="00773EE2"/>
        </w:tc>
      </w:tr>
      <w:tr w:rsidR="00773EE2" w14:paraId="26AD22F4" w14:textId="77777777" w:rsidTr="00A318BC">
        <w:trPr>
          <w:trHeight w:val="1018"/>
        </w:trPr>
        <w:tc>
          <w:tcPr>
            <w:tcW w:w="4912" w:type="dxa"/>
          </w:tcPr>
          <w:p w14:paraId="14B9572C" w14:textId="77777777" w:rsidR="00773EE2" w:rsidRPr="00BB0F03" w:rsidRDefault="00773EE2">
            <w:pPr>
              <w:rPr>
                <w:b/>
                <w:sz w:val="22"/>
              </w:rPr>
            </w:pPr>
            <w:r w:rsidRPr="00BB0F03">
              <w:rPr>
                <w:b/>
                <w:sz w:val="22"/>
              </w:rPr>
              <w:t>Desk Procedures</w:t>
            </w:r>
          </w:p>
          <w:p w14:paraId="2551EDE1" w14:textId="77777777" w:rsidR="00773EE2" w:rsidRPr="00BB0F03" w:rsidRDefault="00773EE2">
            <w:pPr>
              <w:rPr>
                <w:sz w:val="22"/>
              </w:rPr>
            </w:pPr>
            <w:r w:rsidRPr="00BB0F03">
              <w:rPr>
                <w:sz w:val="22"/>
              </w:rPr>
              <w:t>Computers—log on and log off</w:t>
            </w:r>
          </w:p>
          <w:p w14:paraId="531FA1BC" w14:textId="77777777" w:rsidR="00773EE2" w:rsidRPr="00BB0F03" w:rsidRDefault="00773EE2">
            <w:pPr>
              <w:rPr>
                <w:sz w:val="22"/>
              </w:rPr>
            </w:pPr>
            <w:r w:rsidRPr="00BB0F03">
              <w:rPr>
                <w:sz w:val="22"/>
              </w:rPr>
              <w:t>Filtering software (passwords and procedures)</w:t>
            </w:r>
          </w:p>
          <w:p w14:paraId="7F8C90B2" w14:textId="77777777" w:rsidR="00773EE2" w:rsidRPr="00BB0F03" w:rsidRDefault="00773EE2">
            <w:pPr>
              <w:rPr>
                <w:sz w:val="22"/>
              </w:rPr>
            </w:pPr>
            <w:r w:rsidRPr="00BB0F03">
              <w:rPr>
                <w:sz w:val="22"/>
              </w:rPr>
              <w:t>Bulletin boards</w:t>
            </w:r>
          </w:p>
          <w:p w14:paraId="4E97EFFA" w14:textId="77777777" w:rsidR="00773EE2" w:rsidRPr="00BB0F03" w:rsidRDefault="00773EE2">
            <w:pPr>
              <w:rPr>
                <w:sz w:val="22"/>
              </w:rPr>
            </w:pPr>
            <w:r w:rsidRPr="00BB0F03">
              <w:rPr>
                <w:sz w:val="22"/>
              </w:rPr>
              <w:t>Educator loans/multiple copies</w:t>
            </w:r>
          </w:p>
        </w:tc>
        <w:tc>
          <w:tcPr>
            <w:tcW w:w="1379" w:type="dxa"/>
          </w:tcPr>
          <w:p w14:paraId="35DE38A4" w14:textId="77777777" w:rsidR="00773EE2" w:rsidRDefault="00773EE2"/>
        </w:tc>
        <w:tc>
          <w:tcPr>
            <w:tcW w:w="3620" w:type="dxa"/>
          </w:tcPr>
          <w:p w14:paraId="292FB7DB" w14:textId="77777777" w:rsidR="00773EE2" w:rsidRDefault="00773EE2"/>
        </w:tc>
      </w:tr>
      <w:tr w:rsidR="00773EE2" w14:paraId="1A4CA08F" w14:textId="77777777" w:rsidTr="00A318BC">
        <w:trPr>
          <w:trHeight w:val="2035"/>
        </w:trPr>
        <w:tc>
          <w:tcPr>
            <w:tcW w:w="4912" w:type="dxa"/>
          </w:tcPr>
          <w:p w14:paraId="5B22AEAD" w14:textId="77777777" w:rsidR="00773EE2" w:rsidRPr="00BB0F03" w:rsidRDefault="00773EE2">
            <w:pPr>
              <w:rPr>
                <w:b/>
                <w:sz w:val="22"/>
              </w:rPr>
            </w:pPr>
            <w:r w:rsidRPr="00BB0F03">
              <w:rPr>
                <w:b/>
                <w:sz w:val="22"/>
              </w:rPr>
              <w:t>Programs</w:t>
            </w:r>
          </w:p>
          <w:p w14:paraId="5C93F9FD" w14:textId="77777777" w:rsidR="00773EE2" w:rsidRPr="00BB0F03" w:rsidRDefault="00773EE2">
            <w:pPr>
              <w:rPr>
                <w:sz w:val="22"/>
              </w:rPr>
            </w:pPr>
            <w:r w:rsidRPr="00BB0F03">
              <w:rPr>
                <w:sz w:val="22"/>
              </w:rPr>
              <w:t>Registration</w:t>
            </w:r>
          </w:p>
          <w:p w14:paraId="33EA4244" w14:textId="77777777" w:rsidR="00773EE2" w:rsidRPr="00BB0F03" w:rsidRDefault="00773EE2">
            <w:pPr>
              <w:rPr>
                <w:sz w:val="22"/>
              </w:rPr>
            </w:pPr>
            <w:r w:rsidRPr="00BB0F03">
              <w:rPr>
                <w:sz w:val="22"/>
              </w:rPr>
              <w:t>Exceptions and rules</w:t>
            </w:r>
          </w:p>
          <w:p w14:paraId="3CFCFEFF" w14:textId="77777777" w:rsidR="00773EE2" w:rsidRPr="00BB0F03" w:rsidRDefault="00773EE2">
            <w:pPr>
              <w:rPr>
                <w:sz w:val="22"/>
              </w:rPr>
            </w:pPr>
            <w:r w:rsidRPr="00BB0F03">
              <w:rPr>
                <w:sz w:val="22"/>
              </w:rPr>
              <w:t>Storytime categories</w:t>
            </w:r>
            <w:r w:rsidR="00BB0F03">
              <w:rPr>
                <w:sz w:val="22"/>
              </w:rPr>
              <w:t>:  ages, drop-in, specials</w:t>
            </w:r>
          </w:p>
          <w:p w14:paraId="50CF63BD" w14:textId="77777777" w:rsidR="00773EE2" w:rsidRPr="00BB0F03" w:rsidRDefault="00773EE2" w:rsidP="00773EE2">
            <w:pPr>
              <w:rPr>
                <w:sz w:val="22"/>
              </w:rPr>
            </w:pPr>
            <w:r w:rsidRPr="00BB0F03">
              <w:rPr>
                <w:sz w:val="22"/>
              </w:rPr>
              <w:t>Name labels</w:t>
            </w:r>
          </w:p>
          <w:p w14:paraId="3F32211A" w14:textId="77777777" w:rsidR="00773EE2" w:rsidRPr="00BB0F03" w:rsidRDefault="00773EE2" w:rsidP="00773EE2">
            <w:pPr>
              <w:rPr>
                <w:sz w:val="22"/>
              </w:rPr>
            </w:pPr>
            <w:r w:rsidRPr="00BB0F03">
              <w:rPr>
                <w:sz w:val="22"/>
              </w:rPr>
              <w:t>Bathroom and getting parent</w:t>
            </w:r>
          </w:p>
          <w:p w14:paraId="012CBB50" w14:textId="77777777" w:rsidR="00773EE2" w:rsidRPr="00BB0F03" w:rsidRDefault="00773EE2" w:rsidP="00773EE2">
            <w:pPr>
              <w:rPr>
                <w:sz w:val="22"/>
              </w:rPr>
            </w:pPr>
            <w:r w:rsidRPr="00BB0F03">
              <w:rPr>
                <w:sz w:val="22"/>
              </w:rPr>
              <w:t>Building evacuation</w:t>
            </w:r>
          </w:p>
          <w:p w14:paraId="2C1AAFE0" w14:textId="77777777" w:rsidR="00773EE2" w:rsidRPr="00BB0F03" w:rsidRDefault="00773EE2" w:rsidP="00773EE2">
            <w:pPr>
              <w:rPr>
                <w:sz w:val="22"/>
              </w:rPr>
            </w:pPr>
            <w:r w:rsidRPr="00BB0F03">
              <w:rPr>
                <w:sz w:val="22"/>
              </w:rPr>
              <w:t>Publicity</w:t>
            </w:r>
          </w:p>
          <w:p w14:paraId="16D9E69E" w14:textId="77777777" w:rsidR="00773EE2" w:rsidRPr="00BB0F03" w:rsidRDefault="00773EE2" w:rsidP="00773EE2">
            <w:pPr>
              <w:rPr>
                <w:sz w:val="22"/>
              </w:rPr>
            </w:pPr>
            <w:r w:rsidRPr="00BB0F03">
              <w:rPr>
                <w:sz w:val="22"/>
              </w:rPr>
              <w:t>School visits/library hours</w:t>
            </w:r>
          </w:p>
          <w:p w14:paraId="4070E9E4" w14:textId="77777777" w:rsidR="00773EE2" w:rsidRPr="00BB0F03" w:rsidRDefault="00773EE2">
            <w:pPr>
              <w:rPr>
                <w:sz w:val="22"/>
              </w:rPr>
            </w:pPr>
            <w:r w:rsidRPr="00BB0F03">
              <w:rPr>
                <w:sz w:val="22"/>
              </w:rPr>
              <w:t>Use of AV equipment</w:t>
            </w:r>
          </w:p>
        </w:tc>
        <w:tc>
          <w:tcPr>
            <w:tcW w:w="1379" w:type="dxa"/>
          </w:tcPr>
          <w:p w14:paraId="46C9B1A6" w14:textId="77777777" w:rsidR="00773EE2" w:rsidRDefault="00773EE2"/>
        </w:tc>
        <w:tc>
          <w:tcPr>
            <w:tcW w:w="3620" w:type="dxa"/>
          </w:tcPr>
          <w:p w14:paraId="42B0F8FC" w14:textId="77777777" w:rsidR="00773EE2" w:rsidRDefault="00773EE2"/>
        </w:tc>
      </w:tr>
      <w:tr w:rsidR="00773EE2" w14:paraId="48DDD3E4" w14:textId="77777777" w:rsidTr="00A318BC">
        <w:trPr>
          <w:trHeight w:val="1002"/>
        </w:trPr>
        <w:tc>
          <w:tcPr>
            <w:tcW w:w="4912" w:type="dxa"/>
          </w:tcPr>
          <w:p w14:paraId="08B84C98" w14:textId="77777777" w:rsidR="00773EE2" w:rsidRPr="00BB0F03" w:rsidRDefault="00773EE2">
            <w:pPr>
              <w:rPr>
                <w:b/>
                <w:sz w:val="22"/>
              </w:rPr>
            </w:pPr>
            <w:r w:rsidRPr="00BB0F03">
              <w:rPr>
                <w:b/>
                <w:sz w:val="22"/>
              </w:rPr>
              <w:t>Files and Forms (print and online)</w:t>
            </w:r>
          </w:p>
          <w:p w14:paraId="215F1101" w14:textId="77777777" w:rsidR="00773EE2" w:rsidRPr="00BB0F03" w:rsidRDefault="00773EE2">
            <w:pPr>
              <w:rPr>
                <w:sz w:val="22"/>
              </w:rPr>
            </w:pPr>
            <w:r w:rsidRPr="00BB0F03">
              <w:rPr>
                <w:sz w:val="22"/>
              </w:rPr>
              <w:t>Desk notebook/memo notebook</w:t>
            </w:r>
          </w:p>
          <w:p w14:paraId="571C062A" w14:textId="77777777" w:rsidR="00773EE2" w:rsidRPr="00BB0F03" w:rsidRDefault="00773EE2">
            <w:pPr>
              <w:rPr>
                <w:sz w:val="22"/>
              </w:rPr>
            </w:pPr>
            <w:r w:rsidRPr="00BB0F03">
              <w:rPr>
                <w:sz w:val="22"/>
              </w:rPr>
              <w:t>Meeting room calendar</w:t>
            </w:r>
          </w:p>
          <w:p w14:paraId="692558F0" w14:textId="77777777" w:rsidR="00773EE2" w:rsidRPr="00BB0F03" w:rsidRDefault="00773EE2">
            <w:pPr>
              <w:rPr>
                <w:sz w:val="22"/>
              </w:rPr>
            </w:pPr>
            <w:r w:rsidRPr="00BB0F03">
              <w:rPr>
                <w:sz w:val="22"/>
              </w:rPr>
              <w:t>Homework assignments</w:t>
            </w:r>
            <w:r w:rsidR="002151A2">
              <w:rPr>
                <w:sz w:val="22"/>
              </w:rPr>
              <w:t xml:space="preserve">, </w:t>
            </w:r>
            <w:r w:rsidRPr="00BB0F03">
              <w:rPr>
                <w:sz w:val="22"/>
              </w:rPr>
              <w:t>Homework excuse form</w:t>
            </w:r>
          </w:p>
          <w:p w14:paraId="58D1EDAA" w14:textId="77777777" w:rsidR="00773EE2" w:rsidRPr="00BB0F03" w:rsidRDefault="00773EE2">
            <w:pPr>
              <w:rPr>
                <w:sz w:val="22"/>
              </w:rPr>
            </w:pPr>
            <w:r w:rsidRPr="00BB0F03">
              <w:rPr>
                <w:sz w:val="22"/>
              </w:rPr>
              <w:t>Volunteer information</w:t>
            </w:r>
          </w:p>
        </w:tc>
        <w:tc>
          <w:tcPr>
            <w:tcW w:w="1379" w:type="dxa"/>
          </w:tcPr>
          <w:p w14:paraId="089783FA" w14:textId="77777777" w:rsidR="00773EE2" w:rsidRDefault="00773EE2"/>
        </w:tc>
        <w:tc>
          <w:tcPr>
            <w:tcW w:w="3620" w:type="dxa"/>
          </w:tcPr>
          <w:p w14:paraId="37AED2E8" w14:textId="77777777" w:rsidR="00773EE2" w:rsidRDefault="00773EE2"/>
        </w:tc>
      </w:tr>
    </w:tbl>
    <w:p w14:paraId="0116A1DB" w14:textId="77777777" w:rsidR="00773EE2" w:rsidRDefault="00773EE2"/>
    <w:sectPr w:rsidR="00773EE2" w:rsidSect="00A318BC">
      <w:footerReference w:type="default" r:id="rId7"/>
      <w:pgSz w:w="12240" w:h="15840"/>
      <w:pgMar w:top="1296"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B4294" w14:textId="77777777" w:rsidR="00000000" w:rsidRDefault="00E57EBC">
      <w:r>
        <w:separator/>
      </w:r>
    </w:p>
  </w:endnote>
  <w:endnote w:type="continuationSeparator" w:id="0">
    <w:p w14:paraId="3BF9E272" w14:textId="77777777" w:rsidR="00000000" w:rsidRDefault="00E5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9B41A" w14:textId="77777777" w:rsidR="00BB0F03" w:rsidRDefault="00BB0F03" w:rsidP="00BB0F03">
    <w:pPr>
      <w:ind w:right="360"/>
    </w:pPr>
    <w:r>
      <w:rPr>
        <w:rStyle w:val="footer1"/>
      </w:rPr>
      <w:t xml:space="preserve">This material has been </w:t>
    </w:r>
    <w:r w:rsidR="002151A2">
      <w:rPr>
        <w:rStyle w:val="footer1"/>
      </w:rPr>
      <w:t xml:space="preserve">adapted from a checklist created by the Carroll County (MD) Public Library </w:t>
    </w:r>
    <w:r>
      <w:rPr>
        <w:rStyle w:val="footer1"/>
      </w:rPr>
      <w:t>by Gail Griffith and Paula M. Singer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p w14:paraId="333F0CCF" w14:textId="77777777" w:rsidR="00BB0F03" w:rsidRDefault="00BB0F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C01BC" w14:textId="77777777" w:rsidR="00000000" w:rsidRDefault="00E57EBC">
      <w:r>
        <w:separator/>
      </w:r>
    </w:p>
  </w:footnote>
  <w:footnote w:type="continuationSeparator" w:id="0">
    <w:p w14:paraId="63A02ED7" w14:textId="77777777" w:rsidR="00000000" w:rsidRDefault="00E57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73EE2"/>
    <w:rsid w:val="002151A2"/>
    <w:rsid w:val="00773EE2"/>
    <w:rsid w:val="00A318BC"/>
    <w:rsid w:val="00BB0F03"/>
    <w:rsid w:val="00E57E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36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B0F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3E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BB0F03"/>
    <w:pPr>
      <w:tabs>
        <w:tab w:val="center" w:pos="4320"/>
        <w:tab w:val="right" w:pos="8640"/>
      </w:tabs>
    </w:pPr>
  </w:style>
  <w:style w:type="character" w:customStyle="1" w:styleId="HeaderChar">
    <w:name w:val="Header Char"/>
    <w:basedOn w:val="DefaultParagraphFont"/>
    <w:link w:val="Header"/>
    <w:rsid w:val="00BB0F03"/>
  </w:style>
  <w:style w:type="paragraph" w:styleId="Footer">
    <w:name w:val="footer"/>
    <w:basedOn w:val="Normal"/>
    <w:link w:val="FooterChar"/>
    <w:rsid w:val="00BB0F03"/>
    <w:pPr>
      <w:tabs>
        <w:tab w:val="center" w:pos="4320"/>
        <w:tab w:val="right" w:pos="8640"/>
      </w:tabs>
    </w:pPr>
  </w:style>
  <w:style w:type="character" w:customStyle="1" w:styleId="FooterChar">
    <w:name w:val="Footer Char"/>
    <w:basedOn w:val="DefaultParagraphFont"/>
    <w:link w:val="Footer"/>
    <w:rsid w:val="00BB0F03"/>
  </w:style>
  <w:style w:type="character" w:customStyle="1" w:styleId="footer1">
    <w:name w:val="footer1"/>
    <w:basedOn w:val="DefaultParagraphFont"/>
    <w:rsid w:val="00BB0F03"/>
    <w:rPr>
      <w:rFonts w:ascii="Times" w:hAnsi="Times" w:cs="Times" w:hint="default"/>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Macintosh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Griffith</dc:creator>
  <cp:keywords/>
  <cp:lastModifiedBy>Stanley Strauss</cp:lastModifiedBy>
  <cp:revision>3</cp:revision>
  <cp:lastPrinted>2011-04-28T23:38:00Z</cp:lastPrinted>
  <dcterms:created xsi:type="dcterms:W3CDTF">2011-04-28T23:46:00Z</dcterms:created>
  <dcterms:modified xsi:type="dcterms:W3CDTF">2011-05-03T17:17:00Z</dcterms:modified>
</cp:coreProperties>
</file>